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E901C2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E901C2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10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901C2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E901C2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26878800"/>
      <w:bookmarkStart w:id="1" w:name="_Toc26879481"/>
      <w:r w:rsidRPr="007A5CBE">
        <w:rPr>
          <w:rFonts w:ascii="Times New Roman" w:hAnsi="Times New Roman" w:cs="Times New Roman"/>
          <w:color w:val="auto"/>
        </w:rPr>
        <w:t>1. Общие положения</w:t>
      </w:r>
      <w:bookmarkEnd w:id="0"/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26878801"/>
      <w:bookmarkStart w:id="3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Start w:id="4" w:name="_GoBack"/>
      <w:bookmarkEnd w:id="2"/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Pr="00DD6DB7">
        <w:rPr>
          <w:sz w:val="26"/>
          <w:szCs w:val="26"/>
        </w:rPr>
        <w:t xml:space="preserve"> комплектами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="005C7769">
        <w:rPr>
          <w:sz w:val="26"/>
          <w:szCs w:val="26"/>
        </w:rPr>
        <w:t>может быть увеличена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3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закрытого типа и в учреждениях, исполняющих наказание в виде лишения свободы, на технологическом порталеза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В день проведения итогового собеседованияне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>приглашает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>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5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минимальное количествобаллов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Pr="00BC7200">
        <w:rPr>
          <w:sz w:val="26"/>
          <w:szCs w:val="26"/>
        </w:rPr>
        <w:t>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Организатору(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проверить готовность рабочего места в Штабе для получения материалов итоговогособеседования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5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892534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 w:rsidR="00E85657">
        <w:rPr>
          <w:sz w:val="26"/>
          <w:szCs w:val="26"/>
        </w:rPr>
        <w:t>ников итогового собеседования)</w:t>
      </w:r>
      <w:r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 xml:space="preserve">Задание 1.Чтение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аодна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 xml:space="preserve">Участник итогового собеседования получает зачёт в случае, если за выполнение всей работы оннабрал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E901C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E901C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205D1A" w:rsidRPr="00BC7200" w:rsidRDefault="00E901C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E901C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E901C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916" w:rsidRDefault="007F0916" w:rsidP="00C37DEA">
      <w:r>
        <w:separator/>
      </w:r>
    </w:p>
  </w:endnote>
  <w:endnote w:type="continuationSeparator" w:id="1">
    <w:p w:rsidR="007F0916" w:rsidRDefault="007F0916" w:rsidP="00C37DEA">
      <w:r>
        <w:continuationSeparator/>
      </w:r>
    </w:p>
  </w:endnote>
  <w:endnote w:type="continuationNotice" w:id="2">
    <w:p w:rsidR="007F0916" w:rsidRDefault="007F09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  <w:docPartObj>
        <w:docPartGallery w:val="Page Numbers (Bottom of Page)"/>
        <w:docPartUnique/>
      </w:docPartObj>
    </w:sdtPr>
    <w:sdtContent>
      <w:p w:rsidR="00F10892" w:rsidRDefault="00E901C2">
        <w:pPr>
          <w:pStyle w:val="a3"/>
          <w:jc w:val="right"/>
        </w:pPr>
        <w:r>
          <w:fldChar w:fldCharType="begin"/>
        </w:r>
        <w:r w:rsidR="00F10892">
          <w:instrText>PAGE   \* MERGEFORMAT</w:instrText>
        </w:r>
        <w:r>
          <w:fldChar w:fldCharType="separate"/>
        </w:r>
        <w:r w:rsidR="00CB11AF">
          <w:rPr>
            <w:noProof/>
          </w:rPr>
          <w:t>41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916" w:rsidRDefault="007F0916" w:rsidP="00C37DEA">
      <w:r>
        <w:separator/>
      </w:r>
    </w:p>
  </w:footnote>
  <w:footnote w:type="continuationSeparator" w:id="1">
    <w:p w:rsidR="007F0916" w:rsidRDefault="007F0916" w:rsidP="00C37DEA">
      <w:r>
        <w:continuationSeparator/>
      </w:r>
    </w:p>
  </w:footnote>
  <w:footnote w:type="continuationNotice" w:id="2">
    <w:p w:rsidR="007F0916" w:rsidRDefault="007F0916"/>
  </w:footnote>
  <w:footnote w:id="3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5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savePreviewPicture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916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5B85"/>
    <w:rsid w:val="00CB08B6"/>
    <w:rsid w:val="00CB11AF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01C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1050-6638-42FC-B330-316F1D7C0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B50F3-EFA6-4A12-B9EE-B1066F2A7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50FD5-7AD8-45B6-9E4D-693A7CE26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11739</Words>
  <Characters>66915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1</cp:lastModifiedBy>
  <cp:revision>2</cp:revision>
  <cp:lastPrinted>2019-12-10T06:49:00Z</cp:lastPrinted>
  <dcterms:created xsi:type="dcterms:W3CDTF">2020-01-17T05:45:00Z</dcterms:created>
  <dcterms:modified xsi:type="dcterms:W3CDTF">2020-01-17T05:45:00Z</dcterms:modified>
</cp:coreProperties>
</file>